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63CE" w14:textId="3CCF9F44" w:rsidR="00461A90" w:rsidRPr="00461A90" w:rsidRDefault="00461A90" w:rsidP="00BD415B">
      <w:pPr>
        <w:spacing w:after="0" w:line="240" w:lineRule="auto"/>
        <w:textAlignment w:val="baseline"/>
        <w:rPr>
          <w:rFonts w:eastAsia="Times New Roman"/>
          <w:b/>
          <w:bCs/>
          <w:color w:val="000000"/>
          <w:spacing w:val="2"/>
        </w:rPr>
      </w:pPr>
      <w:r w:rsidRPr="00461A90">
        <w:rPr>
          <w:rFonts w:eastAsia="Times New Roman"/>
          <w:b/>
          <w:bCs/>
          <w:color w:val="000000"/>
          <w:spacing w:val="2"/>
        </w:rPr>
        <w:t>Expanded Access Policy</w:t>
      </w:r>
    </w:p>
    <w:p w14:paraId="106D8040" w14:textId="77777777" w:rsidR="00461A90" w:rsidRDefault="00461A90" w:rsidP="00BD415B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31A6852F" w14:textId="3C7245BB" w:rsidR="002E420C" w:rsidRDefault="00BD415B" w:rsidP="00BD415B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 xml:space="preserve">Lipocine </w:t>
      </w:r>
      <w:r w:rsidR="00A15F5C">
        <w:rPr>
          <w:rFonts w:eastAsia="Times New Roman"/>
          <w:color w:val="000000"/>
          <w:spacing w:val="2"/>
        </w:rPr>
        <w:t>Inc</w:t>
      </w:r>
      <w:r w:rsidR="004F6DBA">
        <w:rPr>
          <w:rFonts w:eastAsia="Times New Roman"/>
          <w:color w:val="000000"/>
          <w:spacing w:val="2"/>
        </w:rPr>
        <w:t>.</w:t>
      </w:r>
      <w:r w:rsidR="00A15F5C">
        <w:rPr>
          <w:rFonts w:eastAsia="Times New Roman"/>
          <w:color w:val="000000"/>
          <w:spacing w:val="2"/>
        </w:rPr>
        <w:t xml:space="preserve"> is a biopharmaceutical company focused on </w:t>
      </w:r>
      <w:r w:rsidR="00792C8E">
        <w:rPr>
          <w:rFonts w:eastAsia="Times New Roman"/>
          <w:color w:val="000000"/>
          <w:spacing w:val="2"/>
        </w:rPr>
        <w:t xml:space="preserve">developing innovative therapy options for </w:t>
      </w:r>
      <w:r w:rsidR="00A15F5C">
        <w:rPr>
          <w:rFonts w:eastAsia="Times New Roman"/>
          <w:color w:val="000000"/>
          <w:spacing w:val="2"/>
        </w:rPr>
        <w:t>metabolic, endocrine,</w:t>
      </w:r>
      <w:r w:rsidR="00E9398B">
        <w:rPr>
          <w:rFonts w:eastAsia="Times New Roman"/>
          <w:color w:val="000000"/>
          <w:spacing w:val="2"/>
        </w:rPr>
        <w:t xml:space="preserve"> and</w:t>
      </w:r>
      <w:r w:rsidR="00A15F5C">
        <w:rPr>
          <w:rFonts w:eastAsia="Times New Roman"/>
          <w:color w:val="000000"/>
          <w:spacing w:val="2"/>
        </w:rPr>
        <w:t xml:space="preserve"> central nervous system disorder</w:t>
      </w:r>
      <w:r w:rsidR="005A4D32">
        <w:rPr>
          <w:rFonts w:eastAsia="Times New Roman"/>
          <w:color w:val="000000"/>
          <w:spacing w:val="2"/>
        </w:rPr>
        <w:t>s</w:t>
      </w:r>
      <w:r w:rsidR="00A15F5C">
        <w:rPr>
          <w:rFonts w:eastAsia="Times New Roman"/>
          <w:color w:val="000000"/>
          <w:spacing w:val="2"/>
        </w:rPr>
        <w:t xml:space="preserve"> using its proprietary drug delivery technologies. </w:t>
      </w:r>
      <w:r w:rsidR="00E9398B">
        <w:rPr>
          <w:rFonts w:eastAsia="Times New Roman"/>
          <w:color w:val="000000"/>
          <w:spacing w:val="2"/>
        </w:rPr>
        <w:t xml:space="preserve">The company has advanced one of its clinical candidates </w:t>
      </w:r>
      <w:r w:rsidR="00863D28">
        <w:rPr>
          <w:rFonts w:eastAsia="Times New Roman"/>
          <w:color w:val="000000"/>
          <w:spacing w:val="2"/>
        </w:rPr>
        <w:t xml:space="preserve">LPCN 1144, an oral prodrug of bioidentical testosterone, for </w:t>
      </w:r>
      <w:r w:rsidRPr="00BD415B">
        <w:rPr>
          <w:rFonts w:eastAsia="Times New Roman"/>
          <w:color w:val="000000"/>
          <w:spacing w:val="2"/>
        </w:rPr>
        <w:t xml:space="preserve">the treatment of </w:t>
      </w:r>
      <w:r w:rsidR="00863D28">
        <w:rPr>
          <w:rFonts w:eastAsia="Times New Roman"/>
          <w:color w:val="000000"/>
          <w:spacing w:val="2"/>
        </w:rPr>
        <w:t xml:space="preserve">non-cirrhotic </w:t>
      </w:r>
      <w:r w:rsidRPr="00BD415B">
        <w:rPr>
          <w:rFonts w:eastAsia="Times New Roman"/>
          <w:color w:val="000000"/>
          <w:spacing w:val="2"/>
        </w:rPr>
        <w:t xml:space="preserve">nonalcoholic steatohepatitis (NASH) </w:t>
      </w:r>
      <w:r w:rsidR="005F413F">
        <w:rPr>
          <w:rFonts w:eastAsia="Times New Roman"/>
          <w:color w:val="000000"/>
          <w:spacing w:val="2"/>
        </w:rPr>
        <w:t>through</w:t>
      </w:r>
      <w:r w:rsidR="004F6DBA">
        <w:rPr>
          <w:rFonts w:eastAsia="Times New Roman"/>
          <w:color w:val="000000"/>
          <w:spacing w:val="2"/>
        </w:rPr>
        <w:t xml:space="preserve"> a</w:t>
      </w:r>
      <w:r w:rsidR="005F413F">
        <w:rPr>
          <w:rFonts w:eastAsia="Times New Roman"/>
          <w:color w:val="000000"/>
          <w:spacing w:val="2"/>
        </w:rPr>
        <w:t xml:space="preserve"> Phase 2 clinical trial</w:t>
      </w:r>
      <w:r w:rsidR="002E420C">
        <w:rPr>
          <w:rFonts w:eastAsia="Times New Roman"/>
          <w:color w:val="000000"/>
          <w:spacing w:val="2"/>
        </w:rPr>
        <w:t>.</w:t>
      </w:r>
    </w:p>
    <w:p w14:paraId="0942E570" w14:textId="77777777" w:rsidR="002E420C" w:rsidRDefault="002E420C" w:rsidP="00BD415B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573EEA5F" w14:textId="139D9A32" w:rsidR="00387ED5" w:rsidRPr="00387ED5" w:rsidRDefault="002E420C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 xml:space="preserve">Lipocine is currently </w:t>
      </w:r>
      <w:r w:rsidR="008B5BB1">
        <w:rPr>
          <w:rFonts w:eastAsia="Times New Roman"/>
          <w:color w:val="000000"/>
          <w:spacing w:val="2"/>
        </w:rPr>
        <w:t>in</w:t>
      </w:r>
      <w:r w:rsidR="00CB6581">
        <w:rPr>
          <w:rFonts w:eastAsia="Times New Roman"/>
          <w:color w:val="000000"/>
          <w:spacing w:val="2"/>
        </w:rPr>
        <w:t xml:space="preserve"> the</w:t>
      </w:r>
      <w:r>
        <w:rPr>
          <w:rFonts w:eastAsia="Times New Roman"/>
          <w:color w:val="000000"/>
          <w:spacing w:val="2"/>
        </w:rPr>
        <w:t xml:space="preserve"> planning stage</w:t>
      </w:r>
      <w:r w:rsidR="008B5BB1">
        <w:rPr>
          <w:rFonts w:eastAsia="Times New Roman"/>
          <w:color w:val="000000"/>
          <w:spacing w:val="2"/>
        </w:rPr>
        <w:t>s</w:t>
      </w:r>
      <w:r>
        <w:rPr>
          <w:rFonts w:eastAsia="Times New Roman"/>
          <w:color w:val="000000"/>
          <w:spacing w:val="2"/>
        </w:rPr>
        <w:t xml:space="preserve"> of a</w:t>
      </w:r>
      <w:r w:rsidR="005F413F">
        <w:rPr>
          <w:rFonts w:eastAsia="Times New Roman"/>
          <w:color w:val="000000"/>
          <w:spacing w:val="2"/>
        </w:rPr>
        <w:t xml:space="preserve"> Phase 3 </w:t>
      </w:r>
      <w:r w:rsidR="00E9398B">
        <w:rPr>
          <w:rFonts w:eastAsia="Times New Roman"/>
          <w:color w:val="000000"/>
          <w:spacing w:val="2"/>
        </w:rPr>
        <w:t xml:space="preserve">clinical </w:t>
      </w:r>
      <w:r w:rsidR="005F413F">
        <w:rPr>
          <w:rFonts w:eastAsia="Times New Roman"/>
          <w:color w:val="000000"/>
          <w:spacing w:val="2"/>
        </w:rPr>
        <w:t>study</w:t>
      </w:r>
      <w:r w:rsidR="008B5BB1">
        <w:rPr>
          <w:rFonts w:eastAsia="Times New Roman"/>
          <w:color w:val="000000"/>
          <w:spacing w:val="2"/>
        </w:rPr>
        <w:t xml:space="preserve">; therefore, </w:t>
      </w:r>
      <w:r w:rsidRPr="002E420C">
        <w:rPr>
          <w:rFonts w:eastAsia="Times New Roman"/>
          <w:color w:val="000000"/>
          <w:spacing w:val="2"/>
        </w:rPr>
        <w:t xml:space="preserve">clinical trial programs are the primary way to access </w:t>
      </w:r>
      <w:r w:rsidR="008B5BB1">
        <w:rPr>
          <w:rFonts w:eastAsia="Times New Roman"/>
          <w:color w:val="000000"/>
          <w:spacing w:val="2"/>
        </w:rPr>
        <w:t xml:space="preserve">the </w:t>
      </w:r>
      <w:r w:rsidRPr="002E420C">
        <w:rPr>
          <w:rFonts w:eastAsia="Times New Roman"/>
          <w:color w:val="000000"/>
          <w:spacing w:val="2"/>
        </w:rPr>
        <w:t>Lipocine investigational medicine</w:t>
      </w:r>
      <w:r w:rsidR="008B5BB1">
        <w:rPr>
          <w:rFonts w:eastAsia="Times New Roman"/>
          <w:color w:val="000000"/>
          <w:spacing w:val="2"/>
        </w:rPr>
        <w:t>, LPCN 1144</w:t>
      </w:r>
      <w:r w:rsidRPr="002E420C">
        <w:rPr>
          <w:rFonts w:eastAsia="Times New Roman"/>
          <w:color w:val="000000"/>
          <w:spacing w:val="2"/>
        </w:rPr>
        <w:t>.</w:t>
      </w:r>
      <w:r w:rsidRPr="00BD415B">
        <w:rPr>
          <w:rFonts w:eastAsia="Times New Roman"/>
          <w:color w:val="000000"/>
          <w:spacing w:val="2"/>
        </w:rPr>
        <w:t xml:space="preserve"> </w:t>
      </w:r>
      <w:r w:rsidR="00BD415B" w:rsidRPr="00BD415B">
        <w:rPr>
          <w:rFonts w:eastAsia="Times New Roman"/>
          <w:color w:val="000000"/>
          <w:spacing w:val="2"/>
        </w:rPr>
        <w:t xml:space="preserve">We recognize that there may be situations where a patient with a serious or life-threatening condition will not qualify for </w:t>
      </w:r>
      <w:r w:rsidR="002056D7">
        <w:rPr>
          <w:rFonts w:eastAsia="Times New Roman"/>
          <w:color w:val="000000"/>
          <w:spacing w:val="2"/>
        </w:rPr>
        <w:t>upcoming LPCN 1144</w:t>
      </w:r>
      <w:r w:rsidR="00BD415B" w:rsidRPr="00BD415B">
        <w:rPr>
          <w:rFonts w:eastAsia="Times New Roman"/>
          <w:color w:val="000000"/>
          <w:spacing w:val="2"/>
        </w:rPr>
        <w:t xml:space="preserve"> clinical trial</w:t>
      </w:r>
      <w:r w:rsidR="002056D7">
        <w:rPr>
          <w:rFonts w:eastAsia="Times New Roman"/>
          <w:color w:val="000000"/>
          <w:spacing w:val="2"/>
        </w:rPr>
        <w:t>(s)</w:t>
      </w:r>
      <w:r w:rsidR="00BD415B" w:rsidRPr="00BD415B">
        <w:rPr>
          <w:rFonts w:eastAsia="Times New Roman"/>
          <w:color w:val="000000"/>
          <w:spacing w:val="2"/>
        </w:rPr>
        <w:t xml:space="preserve"> and may seek access to an investigational medicine outside of a clinical trial setting. This process is known as expanded access, treatment use</w:t>
      </w:r>
      <w:r w:rsidR="00CB6581">
        <w:rPr>
          <w:rFonts w:eastAsia="Times New Roman"/>
          <w:color w:val="000000"/>
          <w:spacing w:val="2"/>
        </w:rPr>
        <w:t>,</w:t>
      </w:r>
      <w:r w:rsidR="00BD415B" w:rsidRPr="00BD415B">
        <w:rPr>
          <w:rFonts w:eastAsia="Times New Roman"/>
          <w:color w:val="000000"/>
          <w:spacing w:val="2"/>
        </w:rPr>
        <w:t xml:space="preserve"> or compassionate use. </w:t>
      </w:r>
      <w:r w:rsidR="00387ED5" w:rsidRPr="00387ED5">
        <w:rPr>
          <w:rFonts w:eastAsia="Times New Roman"/>
          <w:color w:val="000000"/>
          <w:spacing w:val="2"/>
        </w:rPr>
        <w:t xml:space="preserve">Per FDA, Expanded Access may be appropriate when </w:t>
      </w:r>
      <w:r w:rsidR="004F50EA" w:rsidRPr="00387ED5">
        <w:rPr>
          <w:rFonts w:eastAsia="Times New Roman"/>
          <w:color w:val="000000"/>
          <w:spacing w:val="2"/>
        </w:rPr>
        <w:t>all</w:t>
      </w:r>
      <w:r w:rsidR="00387ED5" w:rsidRPr="00387ED5">
        <w:rPr>
          <w:rFonts w:eastAsia="Times New Roman"/>
          <w:color w:val="000000"/>
          <w:spacing w:val="2"/>
        </w:rPr>
        <w:t xml:space="preserve"> the following apply:</w:t>
      </w:r>
    </w:p>
    <w:p w14:paraId="23B222B1" w14:textId="77777777" w:rsidR="00387ED5" w:rsidRPr="00387ED5" w:rsidRDefault="00387ED5" w:rsidP="00387ED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A patient has a serious disease or condition, or a patient’s life is immediately threatened by their disease or condition.</w:t>
      </w:r>
    </w:p>
    <w:p w14:paraId="03E9B486" w14:textId="77777777" w:rsidR="00387ED5" w:rsidRPr="00387ED5" w:rsidRDefault="00387ED5" w:rsidP="00387ED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There is no comparable or satisfactory alternative therapy to diagnose, monitor, or treat the disease or condition.</w:t>
      </w:r>
    </w:p>
    <w:p w14:paraId="37BF3273" w14:textId="77777777" w:rsidR="00387ED5" w:rsidRPr="00387ED5" w:rsidRDefault="00387ED5" w:rsidP="00387ED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Patient enrollment in a clinical trial is not possible.</w:t>
      </w:r>
    </w:p>
    <w:p w14:paraId="3CFF4157" w14:textId="77777777" w:rsidR="00387ED5" w:rsidRPr="00387ED5" w:rsidRDefault="00387ED5" w:rsidP="00387ED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Potential patient benefits justify the potential risks of treatment.</w:t>
      </w:r>
    </w:p>
    <w:p w14:paraId="277A7F19" w14:textId="59EA6A93" w:rsidR="00387ED5" w:rsidRPr="00387ED5" w:rsidRDefault="00387ED5" w:rsidP="00387ED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Providing the investigational medical product will not interfere with investigational trials that could support a medical product’s development or marketing approval for the treatment indication.</w:t>
      </w:r>
    </w:p>
    <w:p w14:paraId="110779B9" w14:textId="77777777" w:rsidR="00387ED5" w:rsidRPr="00387ED5" w:rsidRDefault="00387ED5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4A832A2D" w14:textId="2919D0D0" w:rsidR="00387ED5" w:rsidRDefault="00387ED5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 xml:space="preserve">Currently Lipocine is not making </w:t>
      </w:r>
      <w:r w:rsidR="002056D7" w:rsidRPr="00387ED5">
        <w:rPr>
          <w:rFonts w:eastAsia="Times New Roman"/>
          <w:color w:val="000000"/>
          <w:spacing w:val="2"/>
        </w:rPr>
        <w:t>its investigation drug</w:t>
      </w:r>
      <w:r w:rsidR="002056D7">
        <w:rPr>
          <w:rFonts w:eastAsia="Times New Roman"/>
          <w:color w:val="000000"/>
          <w:spacing w:val="2"/>
        </w:rPr>
        <w:t>,</w:t>
      </w:r>
      <w:r w:rsidR="002056D7" w:rsidRPr="00387ED5">
        <w:rPr>
          <w:rFonts w:eastAsia="Times New Roman"/>
          <w:color w:val="000000"/>
          <w:spacing w:val="2"/>
        </w:rPr>
        <w:t xml:space="preserve"> </w:t>
      </w:r>
      <w:r w:rsidR="002056D7">
        <w:rPr>
          <w:rFonts w:eastAsia="Times New Roman"/>
          <w:color w:val="000000"/>
          <w:spacing w:val="2"/>
        </w:rPr>
        <w:t>LPCN 1144</w:t>
      </w:r>
      <w:r w:rsidR="00CB6581">
        <w:rPr>
          <w:rFonts w:eastAsia="Times New Roman"/>
          <w:color w:val="000000"/>
          <w:spacing w:val="2"/>
        </w:rPr>
        <w:t>,</w:t>
      </w:r>
      <w:r w:rsidR="002056D7">
        <w:rPr>
          <w:rFonts w:eastAsia="Times New Roman"/>
          <w:color w:val="000000"/>
          <w:spacing w:val="2"/>
        </w:rPr>
        <w:t xml:space="preserve"> </w:t>
      </w:r>
      <w:r w:rsidRPr="00387ED5">
        <w:rPr>
          <w:rFonts w:eastAsia="Times New Roman"/>
          <w:color w:val="000000"/>
          <w:spacing w:val="2"/>
        </w:rPr>
        <w:t xml:space="preserve">available on an Expanded Access basis prior to FDA approval. Lipocine may reconsider making LPCN 1144 available through an Expanded Access Program in the future. </w:t>
      </w:r>
    </w:p>
    <w:p w14:paraId="40632DE6" w14:textId="77777777" w:rsidR="00387ED5" w:rsidRPr="00387ED5" w:rsidRDefault="00387ED5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24F5E521" w14:textId="2A885706" w:rsidR="00387ED5" w:rsidRDefault="00387ED5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As authorized by the 21st Century Cures Act, Lipocine may revise this Expanded Access Policy at any time. The posting of this policy by Lipocine shall not serve as a guarantee of access to any specific investigational medicine by any individual patient. </w:t>
      </w:r>
    </w:p>
    <w:p w14:paraId="4B7F3987" w14:textId="77777777" w:rsidR="002056D7" w:rsidRPr="00387ED5" w:rsidRDefault="002056D7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0863E23B" w14:textId="4DA4E036" w:rsidR="00387ED5" w:rsidRDefault="00387ED5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  <w:r w:rsidRPr="00387ED5">
        <w:rPr>
          <w:rFonts w:eastAsia="Times New Roman"/>
          <w:color w:val="000000"/>
          <w:spacing w:val="2"/>
        </w:rPr>
        <w:t>If you have additional questions, please speak with your treating physician or contact Lipocine at </w:t>
      </w:r>
      <w:hyperlink r:id="rId5" w:history="1">
        <w:r w:rsidRPr="00387ED5">
          <w:rPr>
            <w:rFonts w:eastAsia="Times New Roman"/>
            <w:color w:val="0070C0"/>
            <w:spacing w:val="2"/>
            <w:u w:val="single"/>
          </w:rPr>
          <w:t>E</w:t>
        </w:r>
        <w:r w:rsidRPr="002056D7">
          <w:rPr>
            <w:rFonts w:eastAsia="Times New Roman"/>
            <w:color w:val="0070C0"/>
            <w:spacing w:val="2"/>
            <w:u w:val="single"/>
          </w:rPr>
          <w:t>AP</w:t>
        </w:r>
        <w:r w:rsidRPr="00387ED5">
          <w:rPr>
            <w:rFonts w:eastAsia="Times New Roman"/>
            <w:color w:val="0070C0"/>
            <w:spacing w:val="2"/>
            <w:u w:val="single"/>
          </w:rPr>
          <w:t>@</w:t>
        </w:r>
        <w:r w:rsidRPr="002056D7">
          <w:rPr>
            <w:rFonts w:eastAsia="Times New Roman"/>
            <w:color w:val="0070C0"/>
            <w:spacing w:val="2"/>
            <w:u w:val="single"/>
          </w:rPr>
          <w:t>Lipocine</w:t>
        </w:r>
        <w:r w:rsidRPr="00387ED5">
          <w:rPr>
            <w:rFonts w:eastAsia="Times New Roman"/>
            <w:color w:val="0070C0"/>
            <w:spacing w:val="2"/>
            <w:u w:val="single"/>
          </w:rPr>
          <w:t>.com</w:t>
        </w:r>
      </w:hyperlink>
      <w:r w:rsidRPr="00387ED5">
        <w:rPr>
          <w:rFonts w:eastAsia="Times New Roman"/>
          <w:color w:val="0070C0"/>
          <w:spacing w:val="2"/>
          <w:u w:val="single"/>
        </w:rPr>
        <w:t>.</w:t>
      </w:r>
    </w:p>
    <w:p w14:paraId="493A5294" w14:textId="77777777" w:rsidR="002056D7" w:rsidRPr="00387ED5" w:rsidRDefault="002056D7" w:rsidP="00387ED5">
      <w:pPr>
        <w:spacing w:after="0" w:line="240" w:lineRule="auto"/>
        <w:textAlignment w:val="baseline"/>
        <w:rPr>
          <w:rFonts w:eastAsia="Times New Roman"/>
          <w:color w:val="000000"/>
          <w:spacing w:val="2"/>
        </w:rPr>
      </w:pPr>
    </w:p>
    <w:p w14:paraId="4763C16B" w14:textId="7AEAB098" w:rsidR="00A234EA" w:rsidRDefault="00A234EA" w:rsidP="00387ED5">
      <w:pPr>
        <w:spacing w:after="100" w:line="240" w:lineRule="auto"/>
        <w:textAlignment w:val="baseline"/>
      </w:pPr>
    </w:p>
    <w:sectPr w:rsidR="00A2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1720"/>
    <w:multiLevelType w:val="multilevel"/>
    <w:tmpl w:val="C302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523117"/>
    <w:multiLevelType w:val="hybridMultilevel"/>
    <w:tmpl w:val="F076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8C9"/>
    <w:multiLevelType w:val="multilevel"/>
    <w:tmpl w:val="C6AE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509CC"/>
    <w:multiLevelType w:val="multilevel"/>
    <w:tmpl w:val="23A0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76989"/>
    <w:multiLevelType w:val="multilevel"/>
    <w:tmpl w:val="497ED904"/>
    <w:lvl w:ilvl="0">
      <w:start w:val="1"/>
      <w:numFmt w:val="decimal"/>
      <w:pStyle w:val="Heading1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F4"/>
    <w:rsid w:val="00084941"/>
    <w:rsid w:val="001C07FA"/>
    <w:rsid w:val="002056D7"/>
    <w:rsid w:val="002E420C"/>
    <w:rsid w:val="00387ED5"/>
    <w:rsid w:val="00461A90"/>
    <w:rsid w:val="004F50EA"/>
    <w:rsid w:val="004F6DBA"/>
    <w:rsid w:val="005A4D32"/>
    <w:rsid w:val="005F413F"/>
    <w:rsid w:val="00721957"/>
    <w:rsid w:val="00792C8E"/>
    <w:rsid w:val="00806942"/>
    <w:rsid w:val="00863D28"/>
    <w:rsid w:val="008B5BB1"/>
    <w:rsid w:val="008F75E9"/>
    <w:rsid w:val="00A15F5C"/>
    <w:rsid w:val="00A234EA"/>
    <w:rsid w:val="00BD415B"/>
    <w:rsid w:val="00BD775D"/>
    <w:rsid w:val="00CB6581"/>
    <w:rsid w:val="00D94F1C"/>
    <w:rsid w:val="00E9398B"/>
    <w:rsid w:val="00F8606E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7F1F"/>
  <w15:chartTrackingRefBased/>
  <w15:docId w15:val="{96F2B032-F3DB-4A4F-BECA-31A61D2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7F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C07FA"/>
    <w:pPr>
      <w:numPr>
        <w:ilvl w:val="1"/>
        <w:numId w:val="2"/>
      </w:numPr>
      <w:spacing w:line="240" w:lineRule="auto"/>
      <w:ind w:left="630" w:hanging="630"/>
      <w:outlineLvl w:val="1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7F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C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D415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D41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D41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0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4941"/>
    <w:pPr>
      <w:ind w:left="720"/>
      <w:contextualSpacing/>
    </w:pPr>
  </w:style>
  <w:style w:type="paragraph" w:styleId="Revision">
    <w:name w:val="Revision"/>
    <w:hidden/>
    <w:uiPriority w:val="99"/>
    <w:semiHidden/>
    <w:rsid w:val="004F50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5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8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90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1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P@Lipoc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Kim Gallegos</cp:lastModifiedBy>
  <cp:revision>2</cp:revision>
  <dcterms:created xsi:type="dcterms:W3CDTF">2021-11-11T16:16:00Z</dcterms:created>
  <dcterms:modified xsi:type="dcterms:W3CDTF">2021-11-11T16:16:00Z</dcterms:modified>
</cp:coreProperties>
</file>